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E" w:rsidRDefault="00EA30BE" w:rsidP="00EA30BE">
      <w:pPr>
        <w:pStyle w:val="a5"/>
        <w:jc w:val="center"/>
        <w:rPr>
          <w:rFonts w:eastAsia="Times New Roman"/>
          <w:lang w:eastAsia="ru-RU"/>
        </w:rPr>
      </w:pPr>
      <w:r w:rsidRPr="00EA30BE">
        <w:rPr>
          <w:lang w:eastAsia="ru-RU"/>
        </w:rPr>
        <w:t>Доклад</w:t>
      </w:r>
      <w:r>
        <w:rPr>
          <w:rFonts w:eastAsia="Times New Roman"/>
          <w:lang w:eastAsia="ru-RU"/>
        </w:rPr>
        <w:t xml:space="preserve"> </w:t>
      </w:r>
    </w:p>
    <w:p w:rsidR="00EA30BE" w:rsidRPr="00EA30BE" w:rsidRDefault="00EA30BE" w:rsidP="00EA30BE">
      <w:pPr>
        <w:pStyle w:val="a5"/>
        <w:jc w:val="center"/>
        <w:rPr>
          <w:lang w:eastAsia="ru-RU"/>
        </w:rPr>
      </w:pPr>
      <w:r w:rsidRPr="00EA30BE">
        <w:rPr>
          <w:lang w:eastAsia="ru-RU"/>
        </w:rPr>
        <w:t>об итогах реализации и оценке эффективности муниципальной программы</w:t>
      </w:r>
      <w:r>
        <w:rPr>
          <w:rFonts w:eastAsia="Times New Roman"/>
          <w:lang w:eastAsia="ru-RU"/>
        </w:rPr>
        <w:t xml:space="preserve"> </w:t>
      </w:r>
      <w:r w:rsidRPr="00EA30BE">
        <w:rPr>
          <w:lang w:eastAsia="ru-RU"/>
        </w:rPr>
        <w:t>«Развитие малого и среднего предпринимательства на территории муниципального образования город Армавир» за 2016 год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Муниципальная программа утверждена постановлением администрации муниципального образования город Армавир от 12.10.2012 № 3389 «Об утверждении муниципальной программы «Развитие малого и среднего предпринимательства на территории муниципального образования город Армавир».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Координатор программы – управление экономического развития администрации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Цель программы - создание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Объем бюджетного финансирования программы на 2016 год предусмотрен в размере 6300,0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уб., в том числе: за счет средств федерального бюджета – 5373,9 тыс. руб., за счет средств краевого бюджета – 611,1 тыс. руб., за счет средств местного бюджета - 315,0 тыс. руб.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Профинансировано в отчетном периоде 5423,15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уб., в том числе: средства федерального бюджета – 4497,05 тыс. руб., средства краевого бюджета – 611,1 тыс. руб., средства местного бюджета - 315,0 тыс. руб.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Бюджетное финансирование составило 86,1% к запланированному объему программы. Динамика финансирования сложилась в связи с несоответствием заявителей условиям и требованиям «Порядка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Мероприятия программы сгруппированы по трем задачам: из 22 запланированных к реализации мероприятий все выполнены.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1. Развитие системы финансовой, имущественной и организационной поддержки субъектов малого и среднего предпринимательства.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1.1 «Субсидирование из местного бюджета части затрат субъектов малого предпринимательства на ранней стадии их деятельности».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Средства предусмотрены в объёме 857,5 тыс. рублей из них: 731,425 тыс. рублей – средства федерального бюджета (профинансировано (освоено) за 2016 год – 731,425 тыс. рублей или 100 % от объема годовых бюджетных назначений), средства краевого бюджета в сумме 83,2 тыс. рублей (профинансировано (освоено) за 2016 год – 83,2 тыс. рублей или 100 % от объема годовых бюджетных назначений) и средства местного бюджета в сумме 42,875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тыс. рублей (профинансировано (освоено) за 2016 год – 42,875 тыс. рублей или 100 % от объема годовых бюджетных назначений).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В целях реализации мероприятия постановлением администрации муниципального образования город Армавир от 2 сентября 2016 года № 2168 утверждены порядки субсидирования из местного бюджета части затрат субъектов малого и среднего предпринимательства.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Заключено в ноябре 2016 года Соглашение с департаментом инвестиций и развития малого и среднего предпринимательства Краснодарского края о предоставлении субсидий в 2016 году из краевого бюджета бюджету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Отбор субъектов малого предпринимательства проводился в два этапа с 27 октября по 14 ноября 2016 года, с 5 по 12 декабря 2016 года.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Итоги отбора подведены на заседаниях комиссий по рассмотрению вопросов, связанных с предоставлением муниципальной финансовой поддержки субъектам малого и среднего предпринимательства на территории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В целях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реализации мер финансовой поддержки субъектов малого предпринимательства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оказана финансовая поддержка 2 субъектам малого предпринимательства в целях возмещения части затрат субъектов малого предпринимательства на ранней стадии их деятельности на общую сумму 857,5 тыс. руб.;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увеличение объема собственных средств, направленных субъектами малого предпринимательства на ранней стадии их деятельности на приобретение основных фондов и нематериальных активов на 1225,0 тыс. руб., (плановый показатель - 1225,0, тыс. руб.).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1.2 «Субсидирование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Средства предусмотрены в объёме 4792,5 тыс. рублей из них: 4088,075 тыс. рублей – средства федерального бюджета (профинансировано (освоено) за 2016 год – 3211,225 тыс. рублей или 78,6 % от объема годовых бюджетных назначений), средства краевого бюджета в сумме 464,8 тыс. рублей (профинансировано (освоено) за 2016 год – 464,8 тыс. рублей или 100 % от объема годовых бюджетных назначений) и средства местного бюджета в сумме 239,625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тыс. рублей (профинансировано (освоено) за 2016 год – 239,625 тыс. рублей или 100 % от объема годовых бюджетных назначений).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реализации мероприятия Постановлением администрации муниципального образования город Армавир от 2 сентября 2016 года № 2168 утверждены порядки субсидирования из местного бюджета части затрат субъектов малого и среднего предпринимательства.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Заключено в ноябре 2016 года Соглашение с департаментом инвестиций и развития малого и среднего предпринимательства Краснодарского края о предоставлении субсидий в 2016 году из краевого бюджета бюджету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Отбор субъектов малого предпринимательства проводился в два этапа с 27 октября по 14 ноября 2016 года, с 5 по 12 декабря 2016 года.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Итоги отбора подведены на заседаниях комиссий по рассмотрению вопросов, связанных с предоставлением муниципальной финансовой поддержки субъектам малого и среднего предпринимательства на территории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В целях реализации мер финансовой поддержки субъектов малого и среднего предпринимательства (далее – субъекты МСП) оказана финансовая поддержка 6 субъектам МСП по уплате первого взноса при заключении договора финансовой аренды (лизинга), на общую сумму 3 915,650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Бюджетное финансирование составило 86,1% к запланированному объему программы, в связи с несоответствием заявителей условиям и требованиям «Порядка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увеличение объема собственных средств, направленных субъектами малого и среднего предпринимательства на приобретение оборудования, в рамках заключения договоров финансовой аренды (лизинга) - 25197,2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 (плановое значение 24161,0 тыс.руб.). Плановое значение данного показателя выполнено на 104,3%.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1.3 «Субсидирование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Средства предусмотрены в объёме 650,0 тыс. рублей из них: 554,4 тыс. рублей – средства федерального бюджета (профинансировано (освоено) за 2016 год – 554,4 тыс. рублей или 100 % от объема годовых бюджетных назначений), средства краевого бюджета в сумме 63,1 тыс. рублей (профинансировано (освоено) за 2016 год – 63,1 тыс. рублей или 100 % от объема годовых бюджетных назначений) и средства местного бюджета в сумме 32,5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тыс. рублей (профинансировано (освоено) за 2016 год – 32,5 тыс. рублей или 100 % от объема годовых бюджетных назначений).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реализации мероприятия Постановлением администрации муниципального образования город Армавир от 2 сентября 2016 года № 2168 утверждены порядки субсидирования из местного бюджета части затрат субъектов малого и среднего предпринимательства.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Заключено в ноябре 2016 года Соглашение с департаментом инвестиций и развития малого и среднего предпринимательства Краснодарского края о предоставлении субсидий в 2016 году из краевого бюджета бюджету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Отбор субъектов малого и среднего предпринимательства проводился в два этапа с 27 октября по 07 ноября 2016 года, с 5 по 12 декабря 2016 года.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Итоги отбора подведены на заседаниях комиссий по рассмотрению вопросов, связанных с предоставлением муниципальной финансовой поддержки субъектам малого и среднего предпринимательства на территории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реализации мер финансовой поддержки субъектов малого и среднего предпринимательства (далее – субъекты МСП) оказана финансовая поддержка 3 субъектам МСП по уплате процентов по кредитам кредитных организаций, направленным субъектами малого и среднего предпринимательства в целях создания и (или) развития, и (или) модернизации производства товаров (работ, услуг) на общую сумму 650,0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Непосредственный результат от реализации мероприятия - увеличение объема собственных средств, направленных субъектами малого и среднего предпринимательства, на строительство (реконструкцию) для собственных нужд производственных зданий, строений и сооружений и (или) </w: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приобретение оборудования в рамках кредитных договоров – 17970,0 тыс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 (плановое значение - 1878,0 тыс.руб.). Плановое значение данного показателя перевыполнено более чем в 2 раза.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1.4 «Предоставление преимущественного права субъектам малого и среднего предпринимательства на приобретение арендуемого имущества, находящегося в муниципальной собственности муниципального образования город Армавир».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период действия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муниципального образования город Армавир: выявлено 148 объектов муниципальной собственности, приватизация которых возможна по преимущественному праву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из них: 121 объект приватизирован; по 26 объектам утрачено преимущественное право на выкуп; 1 объект арендуется субъектом малого и среднего предпринимательства, отвечающим требованиям 159-ФЗ.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заключение договоров купли-продажи арендуемого имущества (в случае согласия субъекта малого или среднего предпринимательства на использование преимущественного права на приобретение арендуемого имущества.</w:t>
      </w:r>
      <w:proofErr w:type="gramEnd"/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2016 году согласие субъектом малого или среднего предпринимательства на использование преимущественного права на приобретение арендуемого имущества не выражено.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1.5 «Предоставление субъектам малого и среднего предпринимательства во временное владение и (или) пользование объектов, находящихся в муниципальной собственности муниципального образования город Армавир».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соответствии с постановлением администрации муниципального образования город Армавир от 4 апреля 2011 года № 845 «Об имущественной поддержке субъектов малого и среднего предпринимательства в муниципальном образовании город Армавир» (в редакции постановления администрации муниципального образования город Армавир 28 октября 2016 № 2599) сформирован и утвержден перечень имущества, находящегося в муниципальной собственности, предназначенного для передачи во владение и (или) пользование субъектам малого и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 В данный перечень включены 7 объектов недвижимости общей площадью 267,0 кв.м. Перечень с изменениями опубликован на официальном сайте администрации муниципального образования город Армавир </w:t>
      </w:r>
      <w:hyperlink r:id="rId5" w:history="1">
        <w:r w:rsidRPr="00EA30BE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www.armawir.ru</w:t>
        </w:r>
      </w:hyperlink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 и в городской газете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собеседник».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заключение договоров аренды и (или) договоров временного пользования.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2016 году заключен договор аренды недвижимого имущества, находящегося по адресу: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рмавир, ул.Новороссийская, 76, с индивидуальным предпринимателем Садовым П.П.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1.6 «Развитие механизмов кредитно-инвестиционной поддержки субъектов малого и среднего предпринимательства при поддержке Гарантийного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фонда поддержки субъектов малого предпринимательства Краснодарского края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Фонда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Механизм и порядок кредитно-инвестиционной поддержки субъектов МСП рассмотрены и обсуждены в ходе совещания на тему: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«О мерах государственной поддержки предприятий </w: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промышленного комплекса, действующих на федеральном и региональном уровнях» 2 марта 2016 года, с участием специалистов Гарантийного фонда поддержки субъектов малого и среднего предпринимательства Краснодарского края, Фонда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 и в рамках совета по развитию предпринимательства при администрации муниципального образования город Армавир 1 июня 2016 года с участием специалиста Фонда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края. Информация о формах кредитно-инвестиционной поддержки доводится при личном консультировании, проведено 67 консультаций.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оценки реализации мероприятия программы запланировано 2 непосредственных результата его реализации. По итогам 2016 года плановые значения достигнуты по 2 позициям, в том числе: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проведено два презентационных мероприятия (при запланированном количестве не менее двух);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проведено в среднем 5-6 консультаций в месяц (при запланированном количестве не менее пяти консультаций в месяц, по мере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востребованности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2. Обеспечение субъектов малого и среднего предпринимательства информационными и консультационными услугами.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2.1. «Организация информационно-методической поддержки субъектов малого и среднего предпринимательства на информационных ресурсах администрации муниципального образования город Армавир в сети Интернет».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осуществления информационно-методической поддержки субъектов МСП на информационных ресурсах администрации муниципального образования город Армавир в сети «Интернет» на официальном сайте </w:t>
      </w:r>
      <w:hyperlink r:id="rId6" w:history="1">
        <w:r w:rsidRPr="00EA30BE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www.armawir.ru</w:t>
        </w:r>
      </w:hyperlink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 и инвестиционном портале муниципального образования город Армавир </w:t>
      </w:r>
      <w:hyperlink r:id="rId7" w:history="1">
        <w:r w:rsidRPr="00EA30BE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www.invest.armawir.ru</w:t>
        </w:r>
      </w:hyperlink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размещено 213 статей.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в среднем 18 публикаций в месяц (при плановом количестве не менее 15 публикаций ежемесячно), таким образом, плановое значение данного показателя выполнено на 120%.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0" w:name="sub_1131"/>
      <w:r w:rsidRPr="00EA30BE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t>Пункт 2.</w:t>
      </w:r>
      <w:bookmarkEnd w:id="0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 «Организация и проведение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осуществления информационно-методической поддержки субъектов МСП проведено 98 мероприятий с субъектами МСП по проблемам развития и деятельности предпринимательства, по вопросам налогообложения, в которых приняли участие 2663 субъекта МСП.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количество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 – 2663 человека, (плановое – 2660 человек), таким образом, плановое значение данного показателя выполнено на 100%.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2.3.Организация индивидуального консультирования субъектов малого и среднего предпринимательства о формах государственной и муниципальной поддержки субъектов малого и среднего предпринимательства.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В целях осуществления информационно-методической поддержки субъектов МСП организовано индивидуальное консультирование субъектов МСП о формах государственной и муниципальной поддержки субъектов МСП, проведено 167 индивидуальных консультаций.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Непосредственный результат от реализации мероприятия - проведено в среднем 14 консультаций в месяц (при плановом количестве не менее десяти консультаций в месяц, по мере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востребованности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). Плановое значение данного показателя выполнено на 140%.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2.4. «Организация работы совета по развитию предпринимательства при администрации муниципального образования город Армавир».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Совет по развитию предпринимательства действует на постоянной основе, повестка заседаний формируется по инициативе членов Совета. В составе совета представлены общественные организации, выражающие интересы субъектов МСП: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· Краснодарское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· Краснодарская краевая общественная организация «Центр по защите прав предпринимателей, развитию малого и среднего бизнеса «Предприниматели Кубани»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· Краевая общественная организация «Лига предпринимателей малого и среднего бизнеса»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·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Армавирская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межрайонная торгово-промышленная палата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· Некоммерческое партнерство «Союз предпринимателей и работодателей муниципального образования город Армавир»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· Общественные представители Уполномоченного по защите прав предпринимателей в муниципальном образовании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оптимизации деятельности Совета в 2016 году обновлен состав Совета. В состав Совета входят 30 членов. В 2016 году проведено 4 заседания Совета. Средняя посещаемость заседаний Совета составила 19 человек или 70%. В заседаниях Совета принимали участие руководители МКУ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городской многофункциональный центр предоставления государственных и муниципальных услуг», филиала АО «НЭСК–электросети»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Армавирэлектросеть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ООО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Армавиртеплоэнерго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АО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Армавиргоргаз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ГКУ КК «Центр занятости населения города Армавира», компетентные специалисты Межрайонной инспекции Федеральной налоговой службы № 13 по Краснодарскому краю, Управления Пенсионного фонда в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рмавире, прокуратуры г.Армавира, Гарантийного фонда поддержки субъектов малого и среднего предпринимательства Краснодарского края, Фонда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заседаниях Совета рассмотрено 30 вопросов. Рассмотрены вопросы, касающиеся ведения бизнеса, повышения финансовой грамотности, изменений в законодательстве и особенностях применения отдельных его норм.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4 заседания Совета (при плановом количестве не реже одного раза в квартал).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3. Оказание содействия в продвижении товаров (работ, услуг), производимых субъектами малого и среднего предпринимательства, на межрегиональный и международный рынки, пропаганда и популяризация предпринимательской деятельности.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1" w:name="sub_1142"/>
      <w:r w:rsidRPr="00EA30BE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lastRenderedPageBreak/>
        <w:t>Пункт 3.</w:t>
      </w:r>
      <w:bookmarkEnd w:id="1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 «Проведение процедур по определению поставщиков (подрядчиков, исполнителей) на закупки товаров, работ, услуг у субъектов малого предпринимательства, социально ориентированных некоммерческих организаций в размерах, установленных законодательством».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Осуществляются закупки товаров, работ, услуг у субъектов малого предпринимательства, социально ориентированных некоммерческих, в размере, установленном законодательством в сфере осуществления закупок. По итогам 2016 года в муниципальном образовании город Армавир проведены процедуры по определению поставщиков (подрядчиков, исполнителей) на закупки товаров, работ, услуг у субъектов малого предпринимательства, социально ориентированных некоммерческих организаций в размере 24,3 % от совокупного годового объема закупок, предусмотренных планами-графиками заказчиков.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обеспечено осуществление закупок товаров, работ, услуг у субъектов малого предпринимательства в размере 24,3 % от совокупного годового объема закупок, предусмотренных планами-графиками заказчиков (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при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плановом не менее 15% от совокупного годового объема закупок, рассчитанного для закупок у субъектов малого предпринимательства). Плановое значение данного показателя перевыполнено более чем в 1,5 раза.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3.2. «Составление и размещение на информационных ресурсах администрации муниципального образования город Армавир в сети Интернет реестра субъектов малого и среднего предпринимательства - товаропроизводителей города Армавира».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Составлен и размещен на официальном сайте муниципального образования город Армавир реестр товаропроизводителей – субъектов МСП, осуществляющих деятельность на территории муниципального образования город Армавир, в который включен 191 товаропроизводитель.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Товаропроизводители-субъекты МСП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рмавира включены в краевой реестр товаропроизводителей-субъектов МСП, который размещен на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интернет-портале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малого и среднего предпринимательства Краснодарского края.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развития партнерских отношений в сфере поставок продукции предприятий, содействия в установлении деловых контактов между субъектами экономических отношений, администрацией муниципального образования город Армавир, реестр товаропроизводителей – субъектов МСП, осуществляющих деятельность на территории муниципального образования город Армавир, направляется городам-побратимам (г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.Г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омель Республики Беларусь, г.Феодосия, г. Краснодар, г.Армавир Республики Армения, г.Кореновск).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содействие в продвижении товаров (работ, услуг), производимых субъектами малого и среднего предпринимательства муниципального образования город Армавир.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3.3. «Организация предоставления комплекса государственных и муниципальных услуг, в том числе для субъектов малого и среднего предпринимательства на базе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Армавирского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городского многофункционального центра предоставления государственных и муниципальных услуг и повышение качества оказываемых муниципальных услуг».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обеспечения предоставления комплекса муниципальных услуг, в том числе для субъектов МСП, на базе МКУ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многофункциональный центр предоставления государственных и муниципальных услуг» (далее – МФЦ) предоставляются муниципальные услуги субъектам МСП. В 2016 году предоставлено 9058 услуг для субъектов МСП.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С 1 июня 2016 года организована деятельность по предоставлению услуг АО «Федеральная корпорация по развитию малого и среднего предпринимательства» (далее – Корпорация МСП) через МФЦ, что является важной частью работы по формированию современной инфраструктуры поддержки субъектов малого и среднего предпринимательства в Российской Федерации. Это такие услуги, как: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лиц.</w:t>
      </w:r>
      <w:proofErr w:type="gramEnd"/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</w:t>
      </w:r>
      <w:proofErr w:type="gramEnd"/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Таким образом, у МФЦ уже есть хороший опыт по организации взаимодействия с 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бизнес-сообществом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 Предоставление через МФЦ специализированных услуг, которые разрабатывает Корпорация МСП, может дать новый толчок развития малого и среднего предпринимательства, вывести взаимодействие предпринимателей и государства на качественно новый уровень.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повышение качества и оптимизация предоставления государственных и муниципальных услуг, снижение административных барьеров.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3.4. «Организация подготовки и проведение ярмарок по реализации продукции, произведенной сельскохозяйственными и перерабатывающими предприятиями города».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Еженедельно в микрорайонах города Армавира и в отдаленных населенных пунктах - поселках Маяк, Южный, «Центральная усадьба совхоза Юбилейный», «Центральная усадьба совхоза Восток», «Центральная усадьба опытной станции ВНИИМК» проводятся сельскохозяйственные ярмарки, проведено 119 ярмарок.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в среднем 15 ярмарок в месяц (при плановом количестве не менее 10 ежемесячно в период с октября по май). Плановое значение данного показателя выполнено на 150%.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3.5. «Организация тематических выпусков радио- и телепередач, освещение в прессе вопросов развития малого и среднего предпринимательства».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организации освещения в средствах массовой информации вопросов развития малого и среднего предпринимательства в муниципальном образовании город Армавир и Краснодарском крае в текущем периоде опубликовано 43 материала по вопросам предпринимательской деятельности в газете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собеседник», журнале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Krasnodar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Region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вышло 56 репортажей в новостных теле- и радиорепортажах, на телеканалах «РЕН-ТВ»,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ТНТ-Армавир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в эфире радиостанций: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«Русское радио – Армавир», «Дорожное радио – Армавир», «Радио Шансон»,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Авторадио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Непосредственный результат от реализации мероприятия - проведено в среднем 8 публикаций в месяц (при плановом количестве не менее 7 ежемесячно). Плановое значение данного показателя выполнено на 114%.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3.6. «Стимулирование результатов деятельности субъектов малого и среднего предпринимательства путём проведения конкурса «Лучшие предприниматели города Армавира».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Проведен ежегодный конкурс «Лучшие предприниматели муниципального образования город Армавир» по итогам 2015 года. По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результатам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которого награждены Почетной грамотой администрации муниципального образования город Армавир: в номинации «Лучшее предприятие муниципального образования город Армавир в промышленности и сельском хозяйстве» за первое место – ООО «Эдельвейс плюс»», за второе место – ООО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Фабрикантъ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третье место – ООО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Армтекс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»; в номинации «Лучшее предприятие муниципального образования город Армавир в сфере услуг»: за первое место – ИП Поминова О.Н., второе место – ООО «Содействие»; за третье место –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Яврумян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И.Ю.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3.7 «Стимулирование результатов деятельности субъектов малого и среднего предпринимательства путём организации участия предпринимателей города в краевом конкурсе «Лучшие предприниматели Краснодарского края».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Проведен муниципальный конкурс, победители которого номинируются для участия в краевом конкурсе. Краевой конкурс «Лучшие предприниматели Краснодарского края» в 2016 году не проводился.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3.8. «Содействие участию субъектов малого и среднего предпринимательства в выставочно-ярмарочных мероприятиях, форумах и иных краевых и федеральных конкурсах и программах».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Субъекты малого и среднего предпринимательства муниципального образования город Армавир в 2016 году приняли участие в следующих международных, федеральных и региональных отраслевых выставках и конкурсах.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22 марта 2016 года в городе-курорте Анапа в рамках краевого проекта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Инфотур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– 2016» ОАО «Кондитерская фабрика»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рмавир и ООО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мясоконсервный комбинат» приняли участие в деловой встрече руководителей краевых предприятий пищевой и перерабатывающей промышленности с организациями торговли, общественного питания, санаторно-курортного комплекса и бюджетной сферы.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 по 4 марта 2016 года делегация муниципального образования город Армавир приняла участие в Международной архитектурно-строительной выставке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YugBuild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23 по 27 мая 2016 года делегация муниципального образования город Армавир приняла участие в 17-й Международной специализированной выставке «Оборудование, приборы и инструменты для металлообрабатывающей промышленности» – «Металлообработка-2016».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28 июля 2016 года делегация муниципального образования город Армавир в количестве 4 человек приняла участие в форуме «Государственная поддержка бизнеса – Краснодар – 2016».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23 августа 2016 года в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 Краснодаре делегация муниципального образования город Армавир в количестве 9 человек приняла участие в форуме «Территория бизнеса – территория жизни».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24 августа 2016 года в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.К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раснодаре в Международной выставке «Цветы-2016» ОАО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совхоз «Декоративные культуры» имени Н.С.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Плохова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 получило две медали. Впервые предприятие победило в конкурсе новинок, а также получило серебро за дизайн экспозиции.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С 29 сентября по 2 октября 2016 года делегация муниципального образования город Армавир в количестве 15 человек приняла участие в Международном инвестиционном форуме «Сочи – 2016».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5 по 7 октября 2017 года делегация муниципального образования город Армавир приняла участие в Международной сельскохозяйственной выставке «Золотая осень - 2016».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6 по 9 октября 2016 года на выставке «Кубанская ярмарка» (г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.К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раснодар) ООО ТКП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Элза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 заняло первое место в кластере переработка и производство продовольственных товаров и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биопродуктов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30 ноября 2016 года в г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.К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раснодаре делегация муниципального образования город Армавир в количестве 25 человек приняла участие в Форуме малого и среднего бизнеса «Дело за малым».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3.9. «Содействие участию в конкурсе «Молодой предприниматель России».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региональном этапе Всероссийского конкурса «Молодой предприниматель России - 2016» от муниципального образования город Армавир приняла участие индивидуальный предприниматель, руководитель туристического агентства «Манго» - Макеева В.Н. в номинации «Социальный бизнес года».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8 декабря 2016 года состоялась встреча заместителя руководителя государственного казенного учреждения Краснодарского края «Молодежный центр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Инвентум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 Кирилла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Белоног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председателя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городской Думы VI созыва Александра Валерьевича Полякова, члена Совета молодых депутатов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городской Думы VI созыва, директора крупного предприятия юга России ООО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АМК-Троя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 Алексея Васильевича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Штаничева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предполагаемыми участниками мероприятий федерального проекта «Ты – предприниматель».</w:t>
      </w:r>
      <w:proofErr w:type="gramEnd"/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В рамках встречи депутаты рассказали о деятельности молодых предпринимателей и развитии бизнеса на территории города.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К.Белоног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поделился с молодежью информацией об основах предпринимательства в Краснодарском крае и о реализации федеральной программы «Ты – предприниматель» на территории Кубани.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3.10. «Проведение поверхностного тестирования в учебных заведениях города Армавира, направленного на выявление предрасположенности молодого человека к предпринимательской деятельности с целью его профессиональной ориентации».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 по 15 октября 2016 года студенты муниципального образования город Армавир приняли участие в анкетировании отбора участников проекта «Ты - предприниматель», с целью вовлечения молодёжи в предпринимательскую деятельность. По результатам анкетирования было отобрано 50 человек для дальнейшего участия в проекте. Всего в анкетировании принимало участие 300 человек.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 ноября по 1 декабря молодёжь города Армавира приняла участие в мониторинге состояния и развития конкурентной среды на рынках товаров и услуг Краснодарского края, проводимом министерством экономики Краснодарского края. В мониторинге приняло участие 250 человек.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3.11. «Организация работы волонтеров в учебных заведениях города Армавира с целью составления базы данных молодых людей, желающих открыть собственное дело».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28 ноября 2016 года на территории 44 муниципальных образований Краснодарского края прошли мероприятия в рамках конференции «Успешный старт». Была организована экскурсия на ОАО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электромеханический завод», руководит которым молодой депутат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городской Думы - Титов Алексей Николаевич. Экскурсия проводилась с целью знакомства с </w: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предприятием, формирования готовности у молодежи к сознательному профессиональному самоопределению. В процессе экскурсии участники ознакомились с работой предприятия, процессом производства, с условиями труда, получили ответы на многие интересующие их вопросы. После экскурсии для студентов аграрно-промышленного техникума был организован круглый стол «Управляй мечтой» в ходе, которого были затронуты очень важные темы, такие как - важность развития молодежного предпринимательства, поддержка общественных молодежных инициатив и стимулирование предпринимательской активности; разрешение сложностей социальной адаптации молодежи, оказавшейся в трудной жизненной ситуации.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3.12 «Проведение игровых и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тренинговых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мероприятий по предпринимательству среди старшеклассников».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25 ноября 2016 года на базе ФГБОУ ВО «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государственный педагогический университет» для студенческой молодёжи был проведен бизнес – тренинг «Как заработать свой первый миллион», организованный Центром молодёжной политики. Участники тренинга познакомились с деятельностью современных деловых людей, узнали, как преодолевать внутренние барьеры для саморазвития в сфере бизнеса. По окончании мероприятия студентам было предложено заполнить анкеты. В 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бизнес-тренинге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приняло участие 200 человек.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Целевые показатели подпрограммы.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По итогам 2016 года по всем целевым показателям, предусмотренным программой, достигнуты плановые значения в полном объеме, в том числе: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субъектов малого и среднего предпринимательства, получивших финансовую поддержку – 11 единиц (плановое – 6 единиц);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- 17 единиц; (плановое 3 единицы)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проведенных конкурсов «Лучшие предприниматели города Армавира» - 1 единица (плановое 1 единица);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участников проведенных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 – 2663 человека (плановое 2660 человек).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основании всего вышеизложенного и согласно, оценки эффективности реализации программы, приведенной в приложении к настоящему докладу и рассчитанной в соответствии с методикой, предусмотренной 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begin"/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instrText xml:space="preserve"> HYPERLINK "garantf1://36893420.0" </w:instrTex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separate"/>
      </w:r>
      <w:r w:rsidRPr="00EA30BE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>постановлением</w: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end"/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администрации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муниципального образования город Армавир от 12 мая 2016 № 1111 «Об утверждении Порядка принятия решения о разработке, формирования, реализации и оценки эффективности реализации муниципальных программ, муниципальных ведомственных целевых программ муниципального образования город Армавир», эффективность составила 0,9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признана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высокой.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реализации муниципальной программы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«Развитие малого и среднего предпринимательства на территории муниципального образования город Армавир» за 2016 год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( постановление администрации муниципального образования город Армавир от 12.10.2012 № 3389, с изменениями от 14 декабря 2016 года №2921)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реализации муниципальной программы далее по тексту Программы проведена в соответствии с методикой, утвержденной постановлением администрации муниципального образования город Армавир от 12.05.2016 г. № 1111 «Об утверждении Порядка принятия решения о разработке, формирования, реализации и оценки эффективности реализации муниципальных программ, муниципальных ведомственных целевых программ муниципального образования город Армавир».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Программы произведена с учетом следующих составляющих: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степени реализации мероприятий Программы и достижения ожидаемых непосредственных результатов их реализации;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степени соответствия запланированному уровню расходов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эффективности использования средств местного бюджета;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степени достижения целей и решения задач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степени реализации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реализации мероприятий Программы.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1. Степень реализации мероприятий оценивается, как доля мероприятий выполненных в полном объеме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Мв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М,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мероприятий;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Мв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A30BE" w:rsidRPr="00EA30BE" w:rsidRDefault="00EA30BE" w:rsidP="00EA30BE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</w:tblGrid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Оценка степени реализации мероприятий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5"/>
              <w:gridCol w:w="1621"/>
              <w:gridCol w:w="2069"/>
            </w:tblGrid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мероприятий программы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выполнено, не 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Степень реализации мероприятий, </w:t>
                  </w:r>
                  <w:proofErr w:type="spell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СРм</w:t>
                  </w:r>
                  <w:proofErr w:type="spell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Мв</w:t>
                  </w:r>
                  <w:proofErr w:type="spell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М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Субсидирование из местного бюджета части затрат субъектов малого предпринимательства на ранней стадии их деятельности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</w:t>
                  </w: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модернизации производства товаров (работ, услуг).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преимущественного права субъектам малого и среднего предпринимательства на приобретение арендуемого имущества, находящегося в муниципальной собственности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Предоставление субъектам малого и среднего предпринимательства во временное владение и (или) пользование объектов, находящихся в муниципальной собственности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Развитие механизмов кредитно-инвестиционной поддержки субъектов малого и среднего предпринимательства при поддержке Гарантийного </w:t>
                  </w:r>
                  <w:proofErr w:type="gram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фонда поддержки субъектов малого предпринимательства Краснодарского края</w:t>
                  </w:r>
                  <w:proofErr w:type="gram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Фонда </w:t>
                  </w:r>
                  <w:proofErr w:type="spell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микрофинансирования</w:t>
                  </w:r>
                  <w:proofErr w:type="spell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субъектов малого и среднего предпринимательства Краснодарского края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информационно-методической поддержки субъектов малого и среднего предпринимательства на информационных ресурсах администрации муниципального образования город Армавир в сети Интернет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индивидуального консультирования субъектов малого и среднего предпринимательства о формах государственной и муниципальной поддержки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работы совета по развитию предпринимательства при администрации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Проведение процедур по определению поставщиков (подрядчиков, исполнителей) на закупки товаров, работ, услуг у субъектов малого предпринимательства, социально ориентированных некоммерческих организаций в размерах, установленных законодательством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Составление и размещение на информационных ресурсах администрации муниципального образования город Армавир в сети Интернет реестра субъектов малого и среднего предпринимательства - товаропроизводителей города Армавира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предоставления комплекса государственных и муниципальных услуг, в том числе для субъектов малого и среднего предпринимательства на базе </w:t>
                  </w:r>
                  <w:proofErr w:type="spell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Армавирского</w:t>
                  </w:r>
                  <w:proofErr w:type="spell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городского многофункционального центра предоставления государственных и муниципальных услуг и повышение качества оказываемых муниципальных услуг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подготовки и проведение ярмарок по реализации продукции, произведенной сельскохозяйственными и перерабатывающими предприятиями города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тематических выпусков радио- и телепередач, освещение в прессе вопросов развития малого и 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Стимулирование результатов деятельности субъектов малого и среднего предпринимательства путём проведения конкурса «Лучшие предприниматели города Армавира»;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Стимулирование результатов деятельности субъектов малого и среднего предпринимательства путём организации участия предпринимателей города в краевом конкурсе «Лучшие предприниматели Краснодарского края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Содействие участию субъектов малого и среднего предпринимательства в выставочно-ярмарочных мероприятиях, форумах и иных краевых и федеральных конкурсах и программах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Содействие участию в конкурсе «Молодой предприниматель России»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Проведение поверхностного тестирования в учебных заведениях города Армавира, направленного на выявление предрасположенности молодого человека к предпринимательской деятельности с целью его профессиональной ориентации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работы волонтеров в учебных заведениях города Армавира с целью составления базы данных молодых людей, желающих открыть собственное дело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A30BE" w:rsidRPr="00EA30BE" w:rsidTr="00EA30BE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Проведение игровых и </w:t>
                  </w:r>
                  <w:proofErr w:type="spellStart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тренинговых</w:t>
                  </w:r>
                  <w:proofErr w:type="spellEnd"/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мероприятий по предпринимательству среди старшеклассников»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A30BE" w:rsidRPr="00EA30BE" w:rsidRDefault="00EA30BE" w:rsidP="00EA30BE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A30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lastRenderedPageBreak/>
        <w:t>СРм</w:t>
      </w:r>
      <w:proofErr w:type="spellEnd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=22/22=1;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2. Степень соответствия запланированному уровню расходов Программы оценивается, как отношение фактически произведенных в отчетном году расходов на их реализацию к плановым значениям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ССуз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Зф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ССуз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соответствия запланированному уровню расходов;</w:t>
      </w:r>
    </w:p>
    <w:p w:rsidR="00EA30BE" w:rsidRPr="00EA30BE" w:rsidRDefault="00EA30BE" w:rsidP="00EA30BE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Зф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фактические расходы на реализацию мероприятий (кассовое исполнение) в отчетном году;</w:t>
      </w:r>
    </w:p>
    <w:tbl>
      <w:tblPr>
        <w:tblW w:w="10635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2349"/>
        <w:gridCol w:w="1853"/>
        <w:gridCol w:w="2364"/>
      </w:tblGrid>
      <w:tr w:rsidR="00EA30BE" w:rsidRPr="00EA30BE" w:rsidTr="00EA30BE">
        <w:tc>
          <w:tcPr>
            <w:tcW w:w="0" w:type="auto"/>
            <w:gridSpan w:val="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объемы бюджетных ассигнований, предусмотренные на реализацию мероприятий в </w:t>
            </w:r>
            <w:proofErr w:type="gram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краевом</w:t>
            </w:r>
            <w:proofErr w:type="gram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местных бюджетах на отчетный год.</w:t>
            </w:r>
          </w:p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степени соответствия запланированному уровню затрат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Наименование мероприятий 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Плановые расходы, предусмотренные в бюджете на реализацию в отчетном году,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Фактические расходы (кассовое исполнение) в отчетном году,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соответствия запланированному уровню расходов,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субъектов малого предпринимательства (юридических лиц, индивидуальных предпринимателей) на ранней стадии их деятельности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4792,5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3915,65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ССуз</w:t>
      </w:r>
      <w:proofErr w:type="spellEnd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Зф</w:t>
      </w:r>
      <w:proofErr w:type="spellEnd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/ Зп=5423,15/6300,0=0,86;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3. Эффективность использования средств местного бюджета рассчитана, как отношение степени реализации мероприятий к степени соответствия запланированному уровню расходов из средств местного бюджета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ССуз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использования средств местного бюджета;</w:t>
      </w:r>
    </w:p>
    <w:p w:rsidR="00EA30BE" w:rsidRPr="00EA30BE" w:rsidRDefault="00EA30BE" w:rsidP="00EA30BE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2324"/>
        <w:gridCol w:w="2287"/>
        <w:gridCol w:w="2098"/>
      </w:tblGrid>
      <w:tr w:rsidR="00EA30BE" w:rsidRPr="00EA30BE" w:rsidTr="00EA30BE">
        <w:tc>
          <w:tcPr>
            <w:tcW w:w="0" w:type="auto"/>
            <w:gridSpan w:val="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степень соответствия запланированному уровню расходов из средств местного бюджета.</w:t>
            </w:r>
          </w:p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использования средств местного бюджета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реализации мероприятий, полностью или частично финансируемых из средств местного бюджета,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соответствия запланированному уровню расходов,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использования средств местного бюджета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Субсидирование из местного бюджета части затрат субъектов малого </w:t>
            </w: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(юридических лиц, индивидуальных предпринимателей) на ранней стадии их деятельности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4. Степень достижения целей и решения задач Программы рассчитана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</w:p>
    <w:tbl>
      <w:tblPr>
        <w:tblpPr w:leftFromText="180" w:rightFromText="180" w:vertAnchor="text" w:horzAnchor="margin" w:tblpXSpec="center" w:tblpY="30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0"/>
        <w:gridCol w:w="1015"/>
        <w:gridCol w:w="1796"/>
        <w:gridCol w:w="1643"/>
        <w:gridCol w:w="1598"/>
        <w:gridCol w:w="1533"/>
      </w:tblGrid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 значение целевого показателя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достижения целевых показателей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Степень реализации Программы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Merge w:val="restar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Merge/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конкурсов "Лучшие предприниматели города Армавира"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участников проведенных мероприятий (семинаров, "круглых </w:t>
            </w: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столов",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(чел.)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СДп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характеризующего цели и задачи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значение целевого показателя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Программы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фактически достигнутое на конец отчетного периода;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плановое значение целевого показателя, характеризующего цели и задачи Программы.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5. Степень реализации Программы рассчитана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СРп=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∑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/М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 - число целевых показателей, характеризующих цели и задачи Программы.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использовании данной формулы в случаях, если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&gt;1, значение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СДппз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принимается 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равным</w:t>
      </w:r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1.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СРп</w:t>
      </w:r>
      <w:proofErr w:type="spellEnd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(1+1+1+1):4=1.</w:t>
      </w:r>
    </w:p>
    <w:tbl>
      <w:tblPr>
        <w:tblpPr w:leftFromText="180" w:rightFromText="180" w:vertAnchor="text" w:horzAnchor="page" w:tblpX="1006" w:tblpY="404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2389"/>
        <w:gridCol w:w="2063"/>
        <w:gridCol w:w="2054"/>
      </w:tblGrid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реализации мероприятий, полностью или частично финансируемых из средств местного бюджета,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использования средств местного бюджета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реализации мероприятий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ЭРм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субъектов малого предпринимательства (юридических лиц, индивидуальных предпринимателей) на ранней стадии их деятельности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Субсидирование из местного бюджета части затрат субъектов малого и среднего предпринимательства, связанных с уплатой процентов по кредитам, </w:t>
            </w: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EA30BE" w:rsidRPr="00EA30BE" w:rsidRDefault="00EA30BE" w:rsidP="00EA30BE">
      <w:pPr>
        <w:shd w:val="clear" w:color="auto" w:fill="FFFFFF"/>
        <w:spacing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lastRenderedPageBreak/>
        <w:t>Оценка степени реализации Программы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6. Эффективность реализации мероприятий Программы рассчитана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*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реализации мероприятия;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мероприятия;</w:t>
      </w:r>
    </w:p>
    <w:p w:rsidR="00EA30BE" w:rsidRPr="00EA30BE" w:rsidRDefault="00EA30BE" w:rsidP="00EA30BE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использования бюджетных средств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7. </w:t>
      </w: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Эффективность реализации Программы оценена по формуле: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=0,5*∑ СРп+0,5*∑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*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kj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j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реализации мероприятий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коэффициент значимости мероприятия для достижения целей Программы.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kj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j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Ф, где: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</w:t>
      </w:r>
      <w:proofErr w:type="gram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j</w:t>
      </w:r>
      <w:proofErr w:type="spellEnd"/>
      <w:proofErr w:type="gram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объем фактических расходов из местного бюджета (кассового исполнения) на реализацию j-той основного мероприятия в отчетном году;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 - объем фактических расходов из местного бюджета (кассового исполнения) на реализацию Программы;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j</w:t>
      </w:r>
      <w:proofErr w:type="spellEnd"/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количество основных мероприятий.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ЭРп</w:t>
      </w:r>
      <w:proofErr w:type="spellEnd"/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=0,5*1,0+0,5*(1,0*0,14+1,0*0,76+1,0*0,1)=0,93.</w:t>
      </w:r>
    </w:p>
    <w:p w:rsidR="00EA30BE" w:rsidRPr="00EA30BE" w:rsidRDefault="00EA30BE" w:rsidP="00EA30BE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результате расчетов эффективность реализации Программы составила-0,925, что соответствует высокому уровню эффективности реализации.</w:t>
      </w:r>
    </w:p>
    <w:p w:rsidR="00EA30BE" w:rsidRPr="00EA30BE" w:rsidRDefault="00EA30BE" w:rsidP="00EA30BE">
      <w:pPr>
        <w:shd w:val="clear" w:color="auto" w:fill="FFFFFF"/>
        <w:spacing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EA30BE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Оценка эффективности реализации Программы</w:t>
      </w:r>
    </w:p>
    <w:tbl>
      <w:tblPr>
        <w:tblW w:w="11430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1502"/>
        <w:gridCol w:w="1854"/>
        <w:gridCol w:w="1674"/>
        <w:gridCol w:w="1832"/>
        <w:gridCol w:w="1772"/>
      </w:tblGrid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реализации программы, СР </w:t>
            </w:r>
            <w:proofErr w:type="spellStart"/>
            <w:proofErr w:type="gram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реализации мероприятий программы, ЭР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Коэффициент значимости мероприятий,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реализации программы, </w:t>
            </w:r>
            <w:proofErr w:type="spellStart"/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Субсидирование из местного бюджета части затрат субъектов малого предпринимательства (юридических лиц, индивидуальных предпринимателей) на ранней стадии их </w:t>
            </w: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vMerge w:val="restar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0" w:type="auto"/>
            <w:vMerge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vMerge w:val="restar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</w:tr>
      <w:tr w:rsidR="00EA30BE" w:rsidRPr="00EA30BE" w:rsidTr="00EA30B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vMerge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BE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Merge/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30BE" w:rsidRPr="00EA30BE" w:rsidRDefault="00EA30BE" w:rsidP="00EA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0BE" w:rsidRPr="00EA30BE" w:rsidRDefault="00EA30BE" w:rsidP="00EA30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E796C" w:rsidRDefault="00EA30BE"/>
    <w:sectPr w:rsidR="001E796C" w:rsidSect="008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5E36"/>
    <w:multiLevelType w:val="multilevel"/>
    <w:tmpl w:val="095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BE"/>
    <w:rsid w:val="001C5D11"/>
    <w:rsid w:val="001F3880"/>
    <w:rsid w:val="00413227"/>
    <w:rsid w:val="0054773A"/>
    <w:rsid w:val="00845F0D"/>
    <w:rsid w:val="00A02EFA"/>
    <w:rsid w:val="00B01464"/>
    <w:rsid w:val="00B10CF8"/>
    <w:rsid w:val="00EA30BE"/>
    <w:rsid w:val="00EC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D"/>
  </w:style>
  <w:style w:type="paragraph" w:styleId="1">
    <w:name w:val="heading 1"/>
    <w:basedOn w:val="a"/>
    <w:next w:val="a"/>
    <w:link w:val="10"/>
    <w:uiPriority w:val="9"/>
    <w:qFormat/>
    <w:rsid w:val="00EA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A30B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B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30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0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0BE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EA30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A30BE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1405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22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707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444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627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726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5242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56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257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805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076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400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493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078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11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756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584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897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64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23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431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2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886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211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14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78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0731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98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86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4396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981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414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799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592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4347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325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685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2988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519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.armaw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awir.ru/" TargetMode="External"/><Relationship Id="rId5" Type="http://schemas.openxmlformats.org/officeDocument/2006/relationships/hyperlink" Target="http://www.armaw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5614</Words>
  <Characters>42225</Characters>
  <Application>Microsoft Office Word</Application>
  <DocSecurity>0</DocSecurity>
  <Lines>898</Lines>
  <Paragraphs>245</Paragraphs>
  <ScaleCrop>false</ScaleCrop>
  <Company>SPecialiST RePack</Company>
  <LinksUpToDate>false</LinksUpToDate>
  <CharactersWithSpaces>47594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Valyshka</dc:creator>
  <cp:lastModifiedBy>Valyshka</cp:lastModifiedBy>
  <cp:revision>1</cp:revision>
  <dcterms:created xsi:type="dcterms:W3CDTF">2018-04-26T14:49:00Z</dcterms:created>
  <dcterms:modified xsi:type="dcterms:W3CDTF">2018-04-26T14:56:00Z</dcterms:modified>
</cp:coreProperties>
</file>